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AD" w:rsidRDefault="00EE0C4B" w:rsidP="00EE0C4B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284133" cy="717661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la_logo_strap_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300" cy="72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4B" w:rsidRDefault="00EE0C4B" w:rsidP="001E18AD"/>
    <w:p w:rsidR="00EE0C4B" w:rsidRPr="00A36C0F" w:rsidRDefault="00EE0C4B" w:rsidP="00A36C0F">
      <w:pPr>
        <w:jc w:val="center"/>
        <w:rPr>
          <w:b/>
          <w:color w:val="4D4D4F"/>
          <w:sz w:val="36"/>
        </w:rPr>
      </w:pPr>
      <w:r w:rsidRPr="00EE0C4B">
        <w:rPr>
          <w:b/>
          <w:color w:val="4D4D4F"/>
          <w:sz w:val="36"/>
        </w:rPr>
        <w:t>Statement of Strategy for School Attendance</w:t>
      </w:r>
    </w:p>
    <w:p w:rsidR="00EE0C4B" w:rsidRDefault="00EE0C4B" w:rsidP="001E18AD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199"/>
      </w:tblGrid>
      <w:tr w:rsidR="001E18AD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</w:pPr>
            <w:r>
              <w:t>Name of school</w:t>
            </w:r>
          </w:p>
        </w:tc>
        <w:tc>
          <w:tcPr>
            <w:tcW w:w="11199" w:type="dxa"/>
          </w:tcPr>
          <w:p w:rsidR="001E18AD" w:rsidRDefault="003E38B6" w:rsidP="00C77F36">
            <w:r>
              <w:t xml:space="preserve">Scoil Chomáin Naofa </w:t>
            </w:r>
          </w:p>
        </w:tc>
      </w:tr>
      <w:tr w:rsidR="001E18AD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</w:pPr>
            <w:r>
              <w:t>Address</w:t>
            </w:r>
          </w:p>
        </w:tc>
        <w:tc>
          <w:tcPr>
            <w:tcW w:w="11199" w:type="dxa"/>
          </w:tcPr>
          <w:p w:rsidR="004E61B4" w:rsidRDefault="00AE46A5" w:rsidP="003E38B6">
            <w:pPr>
              <w:tabs>
                <w:tab w:val="center" w:pos="5491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15875</wp:posOffset>
                      </wp:positionV>
                      <wp:extent cx="942975" cy="952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6A5" w:rsidRPr="00AE46A5" w:rsidRDefault="00AE46A5" w:rsidP="00AE46A5">
                                  <w:pPr>
                                    <w:pStyle w:val="NormalWeb"/>
                                    <w:shd w:val="clear" w:color="auto" w:fill="FFFFFF"/>
                                    <w:spacing w:before="105" w:beforeAutospacing="0" w:after="105" w:afterAutospacing="0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46A5" w:rsidRDefault="00AE46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9.7pt;margin-top:1.25pt;width:74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" fillcolor="white [3201]" strokeweight=".5pt">
                      <v:textbox>
                        <w:txbxContent>
                          <w:p w:rsidR="00AE46A5" w:rsidRPr="00AE46A5" w:rsidRDefault="00AE46A5" w:rsidP="00AE46A5">
                            <w:pPr>
                              <w:pStyle w:val="NormalWeb"/>
                              <w:shd w:val="clear" w:color="auto" w:fill="FFFFFF"/>
                              <w:spacing w:before="105" w:beforeAutospacing="0" w:after="105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E46A5" w:rsidRDefault="00AE46A5"/>
                        </w:txbxContent>
                      </v:textbox>
                    </v:shape>
                  </w:pict>
                </mc:Fallback>
              </mc:AlternateContent>
            </w:r>
            <w:r w:rsidR="003E38B6">
              <w:t xml:space="preserve">Roundfort , </w:t>
            </w:r>
          </w:p>
          <w:p w:rsidR="003E38B6" w:rsidRDefault="003E38B6" w:rsidP="00C77F36">
            <w:r>
              <w:t xml:space="preserve">Hollymount, </w:t>
            </w:r>
          </w:p>
          <w:p w:rsidR="003E38B6" w:rsidRDefault="003E38B6" w:rsidP="00C77F36">
            <w:r>
              <w:t xml:space="preserve">Co. Mayo. </w:t>
            </w:r>
          </w:p>
        </w:tc>
      </w:tr>
      <w:tr w:rsidR="001E18AD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</w:pPr>
            <w:r>
              <w:t>Roll Number</w:t>
            </w:r>
          </w:p>
        </w:tc>
        <w:tc>
          <w:tcPr>
            <w:tcW w:w="11199" w:type="dxa"/>
          </w:tcPr>
          <w:p w:rsidR="001E18AD" w:rsidRDefault="003E38B6" w:rsidP="00C77F36">
            <w:r>
              <w:t>17082W</w:t>
            </w:r>
          </w:p>
        </w:tc>
      </w:tr>
      <w:tr w:rsidR="001E18AD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</w:pPr>
            <w:r>
              <w:rPr>
                <w:rFonts w:cs="Calibri"/>
              </w:rPr>
              <w:t>The school’s vision and values in relation to attendance</w:t>
            </w:r>
          </w:p>
        </w:tc>
        <w:tc>
          <w:tcPr>
            <w:tcW w:w="11199" w:type="dxa"/>
          </w:tcPr>
          <w:p w:rsidR="009468CF" w:rsidRDefault="00B620FA" w:rsidP="00C77F36">
            <w:r>
              <w:t>Scoil Chomáin Naofa’s</w:t>
            </w:r>
            <w:r w:rsidR="009468CF">
              <w:t xml:space="preserve"> vision and values in relation to attendance complement the school ethos of nurturing potential in a caring environment where the welfare of children is paramount. </w:t>
            </w:r>
          </w:p>
          <w:p w:rsidR="001E18AD" w:rsidRDefault="00D92BFE" w:rsidP="00C77F36">
            <w:r>
              <w:t>T</w:t>
            </w:r>
            <w:r w:rsidR="00282E3E">
              <w:t>he Board o</w:t>
            </w:r>
            <w:r>
              <w:t xml:space="preserve">f Management </w:t>
            </w:r>
            <w:r w:rsidR="00282E3E">
              <w:t>views each child in the context of his/her family and a holistic approach to improving attendance will be followed.</w:t>
            </w:r>
          </w:p>
          <w:p w:rsidR="00282E3E" w:rsidRDefault="00282E3E" w:rsidP="00C77F36"/>
        </w:tc>
      </w:tr>
      <w:tr w:rsidR="001E18AD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The school’s high expectations around attendance</w:t>
            </w:r>
          </w:p>
        </w:tc>
        <w:tc>
          <w:tcPr>
            <w:tcW w:w="11199" w:type="dxa"/>
          </w:tcPr>
          <w:p w:rsidR="008D0198" w:rsidRDefault="006F22B6" w:rsidP="00C77F36">
            <w:r>
              <w:t>The Board</w:t>
            </w:r>
            <w:r w:rsidR="00D92BFE">
              <w:t xml:space="preserve"> of Management of Scoil Chomáin Naofa recognizes the importance of consistent</w:t>
            </w:r>
            <w:r>
              <w:t xml:space="preserve"> school attendance and pupil pro</w:t>
            </w:r>
            <w:r w:rsidR="00D92BFE">
              <w:t xml:space="preserve">gress. The Board also acknowledges that this </w:t>
            </w:r>
            <w:r w:rsidR="00AB2F12">
              <w:t>consistent attendance</w:t>
            </w:r>
            <w:r w:rsidR="00D92BFE">
              <w:t xml:space="preserve"> creates</w:t>
            </w:r>
            <w:r>
              <w:t xml:space="preserve"> a positive attitude to school and learning.</w:t>
            </w:r>
          </w:p>
        </w:tc>
      </w:tr>
      <w:tr w:rsidR="001E18AD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How attendance will be monitored</w:t>
            </w:r>
          </w:p>
        </w:tc>
        <w:tc>
          <w:tcPr>
            <w:tcW w:w="11199" w:type="dxa"/>
          </w:tcPr>
          <w:p w:rsidR="00B043D8" w:rsidRDefault="00B043D8" w:rsidP="00346AE9">
            <w:pPr>
              <w:pStyle w:val="ListParagraph"/>
              <w:numPr>
                <w:ilvl w:val="0"/>
                <w:numId w:val="2"/>
              </w:numPr>
            </w:pPr>
            <w:r w:rsidRPr="00C93303">
              <w:t>The school attendance of ind</w:t>
            </w:r>
            <w:r w:rsidR="00D92BFE">
              <w:t>ividual pupils is recorded in the roll book and the school’s number b</w:t>
            </w:r>
            <w:r w:rsidR="00AB2F12">
              <w:t>ook on a daily basis prior to 9.40</w:t>
            </w:r>
            <w:r w:rsidRPr="00C93303">
              <w:t xml:space="preserve">am. If a pupil does not attend on a day when the school is open for instruction, his/her non-attendance will be recorded by the class teacher. </w:t>
            </w:r>
          </w:p>
          <w:p w:rsidR="008D0198" w:rsidRPr="00C93303" w:rsidRDefault="00D92BFE" w:rsidP="00346AE9">
            <w:pPr>
              <w:pStyle w:val="ListParagraph"/>
              <w:numPr>
                <w:ilvl w:val="0"/>
                <w:numId w:val="2"/>
              </w:numPr>
            </w:pPr>
            <w:r>
              <w:t>Monthly attendance, is</w:t>
            </w:r>
            <w:r w:rsidR="008D0198" w:rsidRPr="00C93303">
              <w:t xml:space="preserve"> recorded on </w:t>
            </w:r>
            <w:r>
              <w:t xml:space="preserve">excel document provided by the Department of Education, which is </w:t>
            </w:r>
            <w:r w:rsidR="00BC4B91" w:rsidRPr="00C93303">
              <w:t>verified, printed</w:t>
            </w:r>
            <w:r w:rsidR="008D0198" w:rsidRPr="00C93303">
              <w:t xml:space="preserve"> and filed in the Leabhar Tinrimh.</w:t>
            </w:r>
          </w:p>
          <w:p w:rsidR="00CD7FBF" w:rsidRPr="003107F1" w:rsidRDefault="00CD7FBF" w:rsidP="00346AE9">
            <w:pPr>
              <w:pStyle w:val="ListParagraph"/>
              <w:numPr>
                <w:ilvl w:val="0"/>
                <w:numId w:val="2"/>
              </w:numPr>
            </w:pPr>
            <w:r w:rsidRPr="00C93303">
              <w:t xml:space="preserve">The annual attendance of each individual pupil is recorded </w:t>
            </w:r>
            <w:r w:rsidR="00D92BFE">
              <w:t xml:space="preserve">on the roll book. </w:t>
            </w:r>
            <w:r w:rsidR="00D92BFE" w:rsidRPr="003107F1">
              <w:t xml:space="preserve">It is also recorded in each child’s report card. </w:t>
            </w:r>
          </w:p>
          <w:p w:rsidR="00E10700" w:rsidRPr="00C93303" w:rsidRDefault="00AB1EC8" w:rsidP="00AB2F12">
            <w:pPr>
              <w:pStyle w:val="ListParagraph"/>
              <w:numPr>
                <w:ilvl w:val="0"/>
                <w:numId w:val="2"/>
              </w:numPr>
            </w:pPr>
            <w:r w:rsidRPr="00C93303">
              <w:t xml:space="preserve">Children arriving to school after the </w:t>
            </w:r>
            <w:r w:rsidR="009C2D3E" w:rsidRPr="00C93303">
              <w:t xml:space="preserve">morning </w:t>
            </w:r>
            <w:r w:rsidR="00D92BFE">
              <w:t xml:space="preserve">period </w:t>
            </w:r>
            <w:r w:rsidR="00AB2F12">
              <w:t xml:space="preserve">(8.50am to 9.40 </w:t>
            </w:r>
            <w:r w:rsidR="00550A8D">
              <w:t>am</w:t>
            </w:r>
            <w:r w:rsidR="00D92BFE">
              <w:t>)</w:t>
            </w:r>
            <w:r w:rsidR="00550A8D">
              <w:t xml:space="preserve"> </w:t>
            </w:r>
            <w:r w:rsidR="00D325CB" w:rsidRPr="00212938">
              <w:t>be</w:t>
            </w:r>
            <w:r w:rsidRPr="00212938">
              <w:t xml:space="preserve"> signed in by a parent/ guardian in the office sign-in</w:t>
            </w:r>
            <w:r w:rsidR="00AB2F12">
              <w:t xml:space="preserve"> book.</w:t>
            </w:r>
          </w:p>
          <w:p w:rsidR="00CD7FBF" w:rsidRPr="00C93303" w:rsidRDefault="00CD7FBF" w:rsidP="00C77F36"/>
          <w:p w:rsidR="006C7113" w:rsidRPr="00C93303" w:rsidRDefault="006C7113" w:rsidP="00346AE9">
            <w:pPr>
              <w:pStyle w:val="ListParagraph"/>
              <w:numPr>
                <w:ilvl w:val="0"/>
                <w:numId w:val="2"/>
              </w:numPr>
            </w:pPr>
            <w:r w:rsidRPr="00C93303">
              <w:lastRenderedPageBreak/>
              <w:t>Attendance patterns, including total absences for individual students and class groups</w:t>
            </w:r>
            <w:r w:rsidR="00C56E1F" w:rsidRPr="00C93303">
              <w:t>,</w:t>
            </w:r>
            <w:r w:rsidRPr="00C93303">
              <w:t xml:space="preserve"> are monitored by the</w:t>
            </w:r>
            <w:r w:rsidR="00D92BFE">
              <w:t xml:space="preserve"> vice principal and principal.</w:t>
            </w:r>
            <w:r w:rsidR="00AB2F12">
              <w:t xml:space="preserve"> Once a child reaches 15 days absent, a letter is sent home to parents to </w:t>
            </w:r>
            <w:r w:rsidR="00B620FA">
              <w:t xml:space="preserve">notify them that when their child reaches 20 days, Tulsa will be contacted. </w:t>
            </w:r>
          </w:p>
          <w:p w:rsidR="00C56E1F" w:rsidRPr="00C93303" w:rsidRDefault="00C56E1F" w:rsidP="00346AE9">
            <w:pPr>
              <w:pStyle w:val="ListParagraph"/>
              <w:numPr>
                <w:ilvl w:val="0"/>
                <w:numId w:val="2"/>
              </w:numPr>
            </w:pPr>
            <w:r w:rsidRPr="00C93303">
              <w:t>All pupil absence must be explained by t</w:t>
            </w:r>
            <w:r w:rsidR="00D92BFE">
              <w:t>he parents/guardians by written note.</w:t>
            </w:r>
          </w:p>
          <w:p w:rsidR="00C56E1F" w:rsidRDefault="00C56E1F" w:rsidP="00346AE9">
            <w:pPr>
              <w:pStyle w:val="ListParagraph"/>
              <w:numPr>
                <w:ilvl w:val="0"/>
                <w:numId w:val="2"/>
              </w:numPr>
            </w:pPr>
            <w:r w:rsidRPr="00C93303">
              <w:t xml:space="preserve">When such an explanation is not forthcoming, the class teacher will seek clarification from the parents/guardians. </w:t>
            </w:r>
          </w:p>
          <w:p w:rsidR="001B4C91" w:rsidRPr="00C93303" w:rsidRDefault="001B4C91" w:rsidP="003F7475"/>
        </w:tc>
      </w:tr>
      <w:tr w:rsidR="001E18AD" w:rsidRPr="00D46E69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Summary of the main elements of the school’s approach to attendance:</w:t>
            </w:r>
          </w:p>
          <w:p w:rsidR="001E18AD" w:rsidRDefault="001E18AD" w:rsidP="001E18AD">
            <w:pPr>
              <w:pStyle w:val="ListParagraph"/>
              <w:numPr>
                <w:ilvl w:val="0"/>
                <w:numId w:val="1"/>
              </w:numPr>
              <w:spacing w:after="40"/>
              <w:ind w:left="432" w:hanging="274"/>
              <w:rPr>
                <w:rFonts w:cs="Calibri"/>
              </w:rPr>
            </w:pPr>
            <w:r>
              <w:rPr>
                <w:rFonts w:cs="Calibri"/>
              </w:rPr>
              <w:t>Target setting and targets</w:t>
            </w:r>
          </w:p>
          <w:p w:rsidR="001E18AD" w:rsidRPr="00C133DD" w:rsidRDefault="001E18AD" w:rsidP="001E18AD">
            <w:pPr>
              <w:pStyle w:val="ListParagraph"/>
              <w:numPr>
                <w:ilvl w:val="0"/>
                <w:numId w:val="1"/>
              </w:numPr>
              <w:spacing w:after="40"/>
              <w:ind w:left="432" w:hanging="274"/>
              <w:rPr>
                <w:rFonts w:cs="Calibri"/>
              </w:rPr>
            </w:pPr>
            <w:r w:rsidRPr="00C133DD">
              <w:rPr>
                <w:rFonts w:cs="Calibri"/>
              </w:rPr>
              <w:t>The whole</w:t>
            </w:r>
            <w:r>
              <w:rPr>
                <w:rFonts w:cs="Calibri"/>
              </w:rPr>
              <w:t>-</w:t>
            </w:r>
            <w:r w:rsidRPr="00C133DD">
              <w:rPr>
                <w:rFonts w:cs="Calibri"/>
              </w:rPr>
              <w:t xml:space="preserve">school approach </w:t>
            </w:r>
          </w:p>
          <w:p w:rsidR="001E18AD" w:rsidRPr="00C133DD" w:rsidRDefault="001E18AD" w:rsidP="001E18AD">
            <w:pPr>
              <w:pStyle w:val="ListParagraph"/>
              <w:numPr>
                <w:ilvl w:val="0"/>
                <w:numId w:val="1"/>
              </w:numPr>
              <w:spacing w:after="40"/>
              <w:ind w:left="432" w:hanging="274"/>
              <w:rPr>
                <w:rFonts w:cs="Calibri"/>
              </w:rPr>
            </w:pPr>
            <w:r w:rsidRPr="00C133DD">
              <w:rPr>
                <w:rFonts w:cs="Calibri"/>
              </w:rPr>
              <w:t xml:space="preserve">Promoting good attendance </w:t>
            </w:r>
          </w:p>
          <w:p w:rsidR="001E18AD" w:rsidRDefault="001E18AD" w:rsidP="001E18AD">
            <w:pPr>
              <w:pStyle w:val="ListParagraph"/>
              <w:numPr>
                <w:ilvl w:val="0"/>
                <w:numId w:val="1"/>
              </w:numPr>
              <w:spacing w:after="120"/>
              <w:ind w:left="432" w:hanging="274"/>
              <w:rPr>
                <w:rFonts w:cs="Calibri"/>
              </w:rPr>
            </w:pPr>
            <w:r w:rsidRPr="00C924E4">
              <w:rPr>
                <w:rFonts w:cs="Calibri"/>
              </w:rPr>
              <w:t>Responding to poor attendance</w:t>
            </w:r>
          </w:p>
        </w:tc>
        <w:tc>
          <w:tcPr>
            <w:tcW w:w="11199" w:type="dxa"/>
          </w:tcPr>
          <w:p w:rsidR="003F7475" w:rsidRPr="008656A8" w:rsidRDefault="003F7475" w:rsidP="003F747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Target setting and targets</w:t>
            </w:r>
          </w:p>
          <w:p w:rsidR="00EE2A81" w:rsidRDefault="00CD346F" w:rsidP="00B15B8A">
            <w:pPr>
              <w:pStyle w:val="ListParagraph"/>
              <w:numPr>
                <w:ilvl w:val="0"/>
                <w:numId w:val="9"/>
              </w:numPr>
            </w:pPr>
            <w:r>
              <w:t>Attendance dat</w:t>
            </w:r>
            <w:r w:rsidR="00B620FA">
              <w:t xml:space="preserve">a for the school years 2016-2017 </w:t>
            </w:r>
            <w:r>
              <w:t>was analysed and used to establish a baseline</w:t>
            </w:r>
            <w:r w:rsidR="003107F1">
              <w:t xml:space="preserve"> for attendance in the school which stood at 94%. </w:t>
            </w:r>
          </w:p>
          <w:p w:rsidR="00CD346F" w:rsidRDefault="00CD346F" w:rsidP="00B15B8A">
            <w:pPr>
              <w:pStyle w:val="ListParagraph"/>
              <w:numPr>
                <w:ilvl w:val="0"/>
                <w:numId w:val="9"/>
              </w:numPr>
            </w:pPr>
            <w:r>
              <w:t xml:space="preserve">The Child and Family Agency Annual Attendance Report 2013-2014 was consulted to compare the school’s attendance data to national averages. </w:t>
            </w:r>
          </w:p>
          <w:p w:rsidR="00CD346F" w:rsidRPr="00A65197" w:rsidRDefault="00CD346F" w:rsidP="00B15B8A">
            <w:pPr>
              <w:pStyle w:val="ListParagraph"/>
              <w:numPr>
                <w:ilvl w:val="0"/>
                <w:numId w:val="9"/>
              </w:numPr>
            </w:pPr>
            <w:r w:rsidRPr="00A65197">
              <w:t>Following this analysis, and consultation with all stakeholders, the following attendance targets were set:</w:t>
            </w:r>
          </w:p>
          <w:p w:rsidR="00CD346F" w:rsidRPr="00A65197" w:rsidRDefault="00B9552D" w:rsidP="00B15B8A">
            <w:pPr>
              <w:pStyle w:val="ListParagraph"/>
              <w:numPr>
                <w:ilvl w:val="0"/>
                <w:numId w:val="9"/>
              </w:numPr>
            </w:pPr>
            <w:r w:rsidRPr="00A65197">
              <w:t xml:space="preserve">To improve attendance in </w:t>
            </w:r>
            <w:r w:rsidR="0036082F" w:rsidRPr="00A65197">
              <w:t>the scho</w:t>
            </w:r>
            <w:r w:rsidR="00B620FA">
              <w:t>ol by .</w:t>
            </w:r>
            <w:r w:rsidR="003107F1">
              <w:t>2</w:t>
            </w:r>
            <w:r w:rsidR="00B620FA">
              <w:t xml:space="preserve">5% in Year 1, 2017-2018 </w:t>
            </w:r>
            <w:r w:rsidR="003107F1">
              <w:t>, 0.5</w:t>
            </w:r>
            <w:r w:rsidR="0036082F" w:rsidRPr="00A65197">
              <w:t>% i</w:t>
            </w:r>
            <w:r w:rsidR="00B620FA">
              <w:t xml:space="preserve">n Year 2 2018-2019 </w:t>
            </w:r>
            <w:r w:rsidR="0036082F" w:rsidRPr="00A65197">
              <w:t xml:space="preserve"> an</w:t>
            </w:r>
            <w:r w:rsidR="003107F1">
              <w:t>d 0.7</w:t>
            </w:r>
            <w:r w:rsidR="00B620FA">
              <w:t xml:space="preserve">5% in Year 3 2019- 2020 </w:t>
            </w:r>
          </w:p>
          <w:p w:rsidR="00BC26A3" w:rsidRPr="00A65197" w:rsidRDefault="00BC26A3" w:rsidP="00B620FA">
            <w:pPr>
              <w:pStyle w:val="ListParagraph"/>
              <w:numPr>
                <w:ilvl w:val="0"/>
                <w:numId w:val="9"/>
              </w:numPr>
            </w:pPr>
            <w:r w:rsidRPr="00A65197">
              <w:t>To reduce the number of students absent for 20 days o</w:t>
            </w:r>
            <w:r w:rsidR="00B620FA">
              <w:t>r more over the school year by 1</w:t>
            </w:r>
            <w:r w:rsidRPr="00A65197">
              <w:t>% on an annual basis</w:t>
            </w:r>
            <w:r w:rsidR="00B620FA">
              <w:t>.</w:t>
            </w:r>
          </w:p>
          <w:p w:rsidR="007342A0" w:rsidRPr="00A65197" w:rsidRDefault="007342A0" w:rsidP="00B15B8A">
            <w:pPr>
              <w:pStyle w:val="ListParagraph"/>
              <w:numPr>
                <w:ilvl w:val="0"/>
                <w:numId w:val="9"/>
              </w:numPr>
            </w:pPr>
            <w:r w:rsidRPr="00A65197">
              <w:t>To</w:t>
            </w:r>
            <w:r w:rsidR="00B620FA">
              <w:t xml:space="preserve"> keep </w:t>
            </w:r>
            <w:r w:rsidRPr="00A65197">
              <w:t>record the reasons f</w:t>
            </w:r>
            <w:r w:rsidR="00B620FA">
              <w:t xml:space="preserve">or absences in roll book for the current year. </w:t>
            </w:r>
          </w:p>
          <w:p w:rsidR="00BC26A3" w:rsidRDefault="00BC26A3" w:rsidP="00BC26A3">
            <w:pPr>
              <w:pStyle w:val="ListParagraph"/>
              <w:ind w:left="360"/>
            </w:pPr>
          </w:p>
          <w:p w:rsidR="00EE2A81" w:rsidRDefault="003F7475" w:rsidP="003F7475">
            <w:pPr>
              <w:rPr>
                <w:b/>
              </w:rPr>
            </w:pPr>
            <w:r>
              <w:rPr>
                <w:b/>
              </w:rPr>
              <w:t>The whole-school approach</w:t>
            </w:r>
          </w:p>
          <w:p w:rsidR="00A54A54" w:rsidRPr="00B620FA" w:rsidRDefault="00A54A54" w:rsidP="00B15B8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The importance of good school attendance will be highlighte</w:t>
            </w:r>
            <w:r w:rsidR="00B620FA">
              <w:t xml:space="preserve">d </w:t>
            </w:r>
            <w:r>
              <w:t xml:space="preserve">at </w:t>
            </w:r>
            <w:r w:rsidR="003107F1">
              <w:t xml:space="preserve">parent/teacher meetings. </w:t>
            </w:r>
          </w:p>
          <w:p w:rsidR="00B620FA" w:rsidRPr="00436C6E" w:rsidRDefault="00B620FA" w:rsidP="00B15B8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The benefits of good attendance will be highlighted on the school website. </w:t>
            </w:r>
          </w:p>
          <w:p w:rsidR="00436C6E" w:rsidRPr="00436C6E" w:rsidRDefault="00436C6E" w:rsidP="00B15B8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Regular updates on the s</w:t>
            </w:r>
            <w:r w:rsidR="00B620FA">
              <w:t>chool’s attendance will be acknowledged in our school assemblies.</w:t>
            </w:r>
          </w:p>
          <w:p w:rsidR="00F33114" w:rsidRPr="00B620FA" w:rsidRDefault="00436C6E" w:rsidP="00B620F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The school’s Attendance Policy will be available on the school website.</w:t>
            </w:r>
          </w:p>
          <w:p w:rsidR="000D71EC" w:rsidRPr="003107F1" w:rsidRDefault="00F33114" w:rsidP="003107F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014CA8">
              <w:t>Parents are strongly discouraged from taking students on holidays during term time. If a parent decides to take a child out of school for holidays</w:t>
            </w:r>
            <w:r w:rsidR="00C663EF" w:rsidRPr="00014CA8">
              <w:t>, the Princi</w:t>
            </w:r>
            <w:r w:rsidR="003107F1">
              <w:t xml:space="preserve">pal must be informed. </w:t>
            </w:r>
          </w:p>
          <w:p w:rsidR="003107F1" w:rsidRDefault="003107F1" w:rsidP="00F33114">
            <w:pPr>
              <w:rPr>
                <w:b/>
              </w:rPr>
            </w:pPr>
          </w:p>
          <w:p w:rsidR="00F33114" w:rsidRDefault="00F33114" w:rsidP="00F33114">
            <w:pPr>
              <w:rPr>
                <w:b/>
              </w:rPr>
            </w:pPr>
            <w:r>
              <w:rPr>
                <w:b/>
              </w:rPr>
              <w:t>Promoting good attendance</w:t>
            </w:r>
          </w:p>
          <w:p w:rsidR="00F80587" w:rsidRDefault="00F80587" w:rsidP="00F33114">
            <w:r>
              <w:t xml:space="preserve">The school promotes good attendance by: </w:t>
            </w:r>
          </w:p>
          <w:p w:rsidR="00F80587" w:rsidRDefault="00F80587" w:rsidP="00B15B8A">
            <w:pPr>
              <w:pStyle w:val="ListParagraph"/>
              <w:numPr>
                <w:ilvl w:val="0"/>
                <w:numId w:val="9"/>
              </w:numPr>
            </w:pPr>
            <w:r>
              <w:t xml:space="preserve">creating a safe and welcoming environment </w:t>
            </w:r>
          </w:p>
          <w:p w:rsidR="00F80587" w:rsidRDefault="00F80587" w:rsidP="00B15B8A">
            <w:pPr>
              <w:pStyle w:val="ListParagraph"/>
              <w:numPr>
                <w:ilvl w:val="0"/>
                <w:numId w:val="9"/>
              </w:numPr>
            </w:pPr>
            <w:r>
              <w:t xml:space="preserve">ensuring children are happy </w:t>
            </w:r>
          </w:p>
          <w:p w:rsidR="00F80587" w:rsidRDefault="00F80587" w:rsidP="00B15B8A">
            <w:pPr>
              <w:pStyle w:val="ListParagraph"/>
              <w:numPr>
                <w:ilvl w:val="0"/>
                <w:numId w:val="9"/>
              </w:numPr>
            </w:pPr>
            <w:r>
              <w:t xml:space="preserve">displaying kindness, compassion and understanding </w:t>
            </w:r>
          </w:p>
          <w:p w:rsidR="00F80587" w:rsidRDefault="00F80587" w:rsidP="00B15B8A">
            <w:pPr>
              <w:pStyle w:val="ListParagraph"/>
              <w:numPr>
                <w:ilvl w:val="0"/>
                <w:numId w:val="9"/>
              </w:numPr>
            </w:pPr>
            <w:r>
              <w:t xml:space="preserve">collaborating in the planning and implementation of the primary school curriculum, so as to provide a stimulating learning environment for all pupils  </w:t>
            </w:r>
          </w:p>
          <w:p w:rsidR="00F80587" w:rsidRDefault="00F80587" w:rsidP="00B15B8A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being vigilant so that risks to good attendance such as disadvantage, bullying etc. are identified early </w:t>
            </w:r>
          </w:p>
          <w:p w:rsidR="00F80587" w:rsidRDefault="003107F1" w:rsidP="003107F1">
            <w:pPr>
              <w:pStyle w:val="ListParagraph"/>
              <w:numPr>
                <w:ilvl w:val="0"/>
                <w:numId w:val="9"/>
              </w:numPr>
            </w:pPr>
            <w:r>
              <w:t>Inviting</w:t>
            </w:r>
            <w:r w:rsidR="00F80587">
              <w:t xml:space="preserve"> parents/guardians of new entrants to engage in an induction process, through which the school’s policies and procedures in relation to attendance are explained </w:t>
            </w:r>
            <w:r>
              <w:t>(enrolment evening).</w:t>
            </w:r>
          </w:p>
          <w:p w:rsidR="001E303B" w:rsidRDefault="00F80587" w:rsidP="00B15B8A">
            <w:pPr>
              <w:pStyle w:val="ListParagraph"/>
              <w:numPr>
                <w:ilvl w:val="0"/>
                <w:numId w:val="9"/>
              </w:numPr>
            </w:pPr>
            <w:r>
              <w:t>publishing the calendar for the coming school year annually in June and posting it on the school website (it is hoped that this approach will enable parents/guardians to plan family events around school closures, thus minimising the chances of non-attendance related to family holidays during the school term)</w:t>
            </w:r>
          </w:p>
          <w:p w:rsidR="00F80587" w:rsidRDefault="00F80587" w:rsidP="00F33114">
            <w:pPr>
              <w:rPr>
                <w:b/>
              </w:rPr>
            </w:pPr>
          </w:p>
          <w:p w:rsidR="00F33114" w:rsidRPr="00F33114" w:rsidRDefault="00F33114" w:rsidP="00F33114">
            <w:pPr>
              <w:rPr>
                <w:b/>
              </w:rPr>
            </w:pPr>
            <w:r>
              <w:t xml:space="preserve">Student motivation and engagement </w:t>
            </w:r>
            <w:r w:rsidR="00F80587">
              <w:t>is</w:t>
            </w:r>
            <w:r>
              <w:t xml:space="preserve"> promoted by:</w:t>
            </w:r>
          </w:p>
          <w:p w:rsidR="00F33114" w:rsidRPr="00F33114" w:rsidRDefault="00F33114" w:rsidP="00B15B8A">
            <w:pPr>
              <w:pStyle w:val="ListParagraph"/>
              <w:numPr>
                <w:ilvl w:val="0"/>
                <w:numId w:val="9"/>
              </w:numPr>
            </w:pPr>
            <w:r>
              <w:t xml:space="preserve">the provision of enrichment activities throughout the school week </w:t>
            </w:r>
            <w:r w:rsidR="003107F1">
              <w:t>(</w:t>
            </w:r>
            <w:r w:rsidRPr="00F33114">
              <w:t xml:space="preserve"> </w:t>
            </w:r>
            <w:r w:rsidR="003107F1">
              <w:t xml:space="preserve">brain breaks, </w:t>
            </w:r>
            <w:r w:rsidRPr="00F33114">
              <w:t>swimming l</w:t>
            </w:r>
            <w:r w:rsidR="003107F1">
              <w:t xml:space="preserve">essons, visiting tutors, </w:t>
            </w:r>
            <w:r w:rsidRPr="00F33114">
              <w:t xml:space="preserve"> literacy and numeracy hours</w:t>
            </w:r>
            <w:r w:rsidR="006127CD">
              <w:t>, whole school events an</w:t>
            </w:r>
            <w:r w:rsidR="003107F1">
              <w:t>d celebrations such as Active school Week, Book Week, Seachtain na Gaeilge)</w:t>
            </w:r>
          </w:p>
          <w:p w:rsidR="00F33114" w:rsidRPr="003107F1" w:rsidRDefault="00F33114" w:rsidP="003107F1">
            <w:pPr>
              <w:pStyle w:val="ListParagraph"/>
              <w:numPr>
                <w:ilvl w:val="0"/>
                <w:numId w:val="9"/>
              </w:numPr>
            </w:pPr>
            <w:r w:rsidRPr="00F33114">
              <w:t>the provision of extra-curricular activ</w:t>
            </w:r>
            <w:r w:rsidR="003107F1">
              <w:t xml:space="preserve">ities in the arts and </w:t>
            </w:r>
            <w:r w:rsidRPr="00F33114">
              <w:t>sport</w:t>
            </w:r>
          </w:p>
          <w:p w:rsidR="00F33114" w:rsidRPr="00DD6316" w:rsidRDefault="00F33114" w:rsidP="00B15B8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the use of IT throughout the school day</w:t>
            </w:r>
          </w:p>
          <w:p w:rsidR="00F33114" w:rsidRPr="003107F1" w:rsidRDefault="00F33114" w:rsidP="003107F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the promotion of student responsibility through class jobs and leadership roles in the </w:t>
            </w:r>
            <w:r w:rsidR="003107F1">
              <w:t xml:space="preserve">yard </w:t>
            </w:r>
          </w:p>
          <w:p w:rsidR="00F33114" w:rsidRPr="00F33114" w:rsidRDefault="00F33114" w:rsidP="00B15B8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the scheduling of school concerts, sports days and school trips and events during term times identified as having higher rates of abs</w:t>
            </w:r>
            <w:r w:rsidR="003107F1">
              <w:t xml:space="preserve">ence </w:t>
            </w:r>
          </w:p>
          <w:p w:rsidR="00F33114" w:rsidRPr="00F33114" w:rsidRDefault="00F33114" w:rsidP="00F33114">
            <w:pPr>
              <w:rPr>
                <w:b/>
              </w:rPr>
            </w:pPr>
          </w:p>
          <w:p w:rsidR="002E700D" w:rsidRPr="00F33114" w:rsidRDefault="00D46E69" w:rsidP="00F33114">
            <w:pPr>
              <w:rPr>
                <w:b/>
              </w:rPr>
            </w:pPr>
            <w:r>
              <w:t xml:space="preserve">Parental involvement in all aspects of school life </w:t>
            </w:r>
            <w:r w:rsidR="00F80587">
              <w:t>is</w:t>
            </w:r>
            <w:r>
              <w:t xml:space="preserve"> promoted by:</w:t>
            </w:r>
          </w:p>
          <w:p w:rsidR="00D46E69" w:rsidRPr="003107F1" w:rsidRDefault="00272B5A" w:rsidP="003107F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ongoing engagement with the PTA</w:t>
            </w:r>
          </w:p>
          <w:p w:rsidR="003107F1" w:rsidRPr="003107F1" w:rsidRDefault="003107F1" w:rsidP="003107F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Organisation of parental involvement in class trips, swimming, and football training. </w:t>
            </w:r>
          </w:p>
          <w:p w:rsidR="00D46E69" w:rsidRPr="00D46E69" w:rsidRDefault="00D46E69" w:rsidP="00B15B8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inviting</w:t>
            </w:r>
            <w:r w:rsidR="003107F1">
              <w:t xml:space="preserve"> parents to visit the school to </w:t>
            </w:r>
            <w:r>
              <w:t>support school activities</w:t>
            </w:r>
          </w:p>
          <w:p w:rsidR="00B070F0" w:rsidRPr="00D46E69" w:rsidRDefault="00D46E69" w:rsidP="00B15B8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effectively engaging parents in the review of school policies</w:t>
            </w:r>
          </w:p>
          <w:p w:rsidR="00D46E69" w:rsidRPr="00272B5A" w:rsidRDefault="00D46E69" w:rsidP="00B15B8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communicating with parents about school li</w:t>
            </w:r>
            <w:r w:rsidR="003107F1">
              <w:t xml:space="preserve">fe through website and text updates. </w:t>
            </w:r>
          </w:p>
          <w:p w:rsidR="001E18AD" w:rsidRPr="003107F1" w:rsidRDefault="00272B5A" w:rsidP="003107F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the orga</w:t>
            </w:r>
            <w:r w:rsidR="003107F1">
              <w:t xml:space="preserve">nisation of parent evenings </w:t>
            </w:r>
          </w:p>
          <w:p w:rsidR="00EB6842" w:rsidRPr="008656A8" w:rsidRDefault="00EB6842" w:rsidP="00CD7FBF">
            <w:pPr>
              <w:rPr>
                <w:b/>
              </w:rPr>
            </w:pPr>
          </w:p>
          <w:p w:rsidR="00EB6842" w:rsidRPr="008656A8" w:rsidRDefault="008656A8" w:rsidP="00CD7FBF">
            <w:pPr>
              <w:rPr>
                <w:rFonts w:cs="Calibri"/>
                <w:b/>
              </w:rPr>
            </w:pPr>
            <w:r w:rsidRPr="008656A8">
              <w:rPr>
                <w:rFonts w:cs="Calibri"/>
                <w:b/>
              </w:rPr>
              <w:t>Responding to poor attendance</w:t>
            </w:r>
          </w:p>
          <w:p w:rsidR="008656A8" w:rsidRPr="008656A8" w:rsidRDefault="008656A8" w:rsidP="00CD7FBF">
            <w:pPr>
              <w:rPr>
                <w:u w:val="single"/>
              </w:rPr>
            </w:pPr>
          </w:p>
          <w:p w:rsidR="00EB6842" w:rsidRDefault="003107F1" w:rsidP="00B15B8A">
            <w:pPr>
              <w:pStyle w:val="ListParagraph"/>
              <w:numPr>
                <w:ilvl w:val="0"/>
                <w:numId w:val="9"/>
              </w:numPr>
            </w:pPr>
            <w:r>
              <w:t xml:space="preserve">When a pupil has accumulated 15 </w:t>
            </w:r>
            <w:r w:rsidR="00EB6842">
              <w:t xml:space="preserve">absences in any </w:t>
            </w:r>
            <w:r>
              <w:t>one school year, a standard letter</w:t>
            </w:r>
            <w:r w:rsidR="00EB6842">
              <w:t xml:space="preserve"> informing the pupil’s Parents/Guardia</w:t>
            </w:r>
            <w:r>
              <w:t>ns is sent automatically. This letter</w:t>
            </w:r>
            <w:r w:rsidR="00EB6842">
              <w:t xml:space="preserve"> states the school’s obligation to </w:t>
            </w:r>
            <w:r w:rsidR="00EB6842" w:rsidRPr="001E303B">
              <w:t>inform Túsla, the Child and Family</w:t>
            </w:r>
            <w:r w:rsidR="00EB6842">
              <w:t xml:space="preserve"> Agency of all pupils who accumulate an aggregate of 20 school days in any one school year. </w:t>
            </w:r>
          </w:p>
          <w:p w:rsidR="00EB6842" w:rsidRDefault="00EB6842" w:rsidP="00B15B8A">
            <w:pPr>
              <w:pStyle w:val="ListParagraph"/>
              <w:numPr>
                <w:ilvl w:val="0"/>
                <w:numId w:val="9"/>
              </w:numPr>
            </w:pPr>
            <w:r>
              <w:t>Parents/guardians are made aware of the requirements of Tús</w:t>
            </w:r>
            <w:r w:rsidR="003107F1">
              <w:t>la, the Child and Family Agency,</w:t>
            </w:r>
            <w:r>
              <w:t xml:space="preserve"> particularly the by-law relating to absences of more than 20 da</w:t>
            </w:r>
            <w:r w:rsidR="003107F1">
              <w:t>ys per school year in enrolment evening, on the school website and at PTM’s.</w:t>
            </w:r>
          </w:p>
          <w:p w:rsidR="00B15B8A" w:rsidRDefault="00EB6842" w:rsidP="00B15B8A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Class teachers discuss individual pupil’s attendance and punctuality during Parent/ Teacher meetings and parents are </w:t>
            </w:r>
            <w:r w:rsidRPr="00B15B8A">
              <w:t>informed where a pattern of non-attendance is a cause for concern.</w:t>
            </w:r>
          </w:p>
          <w:p w:rsidR="00EB6842" w:rsidRPr="001E303B" w:rsidRDefault="00B15B8A" w:rsidP="003107F1">
            <w:pPr>
              <w:pStyle w:val="ListParagraph"/>
              <w:numPr>
                <w:ilvl w:val="0"/>
                <w:numId w:val="9"/>
              </w:numPr>
            </w:pPr>
            <w:r w:rsidRPr="00B15B8A">
              <w:rPr>
                <w:rFonts w:eastAsia="Calibri"/>
                <w:kern w:val="1"/>
                <w:u w:color="000000"/>
              </w:rPr>
              <w:t>Parents/ guardians are informed in writing by the Principal where a pupil’s cu</w:t>
            </w:r>
            <w:r w:rsidR="003107F1">
              <w:rPr>
                <w:rFonts w:eastAsia="Calibri"/>
                <w:kern w:val="1"/>
                <w:u w:color="000000"/>
              </w:rPr>
              <w:t>mulative absences are a cause for concern (15 days).</w:t>
            </w:r>
          </w:p>
          <w:p w:rsidR="006127CD" w:rsidRPr="001E303B" w:rsidRDefault="006127CD" w:rsidP="00B15B8A">
            <w:pPr>
              <w:pStyle w:val="ListParagraph"/>
              <w:numPr>
                <w:ilvl w:val="0"/>
                <w:numId w:val="9"/>
              </w:numPr>
            </w:pPr>
            <w:r w:rsidRPr="001E303B">
              <w:t xml:space="preserve">Parents whose children continue to have poor </w:t>
            </w:r>
            <w:r w:rsidR="00984625" w:rsidRPr="001E303B">
              <w:t>attendance</w:t>
            </w:r>
            <w:r w:rsidR="00984625">
              <w:t xml:space="preserve"> (</w:t>
            </w:r>
            <w:r w:rsidR="003107F1">
              <w:t>20+ days</w:t>
            </w:r>
            <w:bookmarkStart w:id="0" w:name="_GoBack"/>
            <w:bookmarkEnd w:id="0"/>
            <w:r w:rsidR="00984625">
              <w:t>),</w:t>
            </w:r>
            <w:r w:rsidRPr="001E303B">
              <w:t xml:space="preserve"> will be referred to Túsla. Parents will be informed where a referral is made and will be contacted by a Túsla attendance officer/ social worker in due course.</w:t>
            </w:r>
          </w:p>
          <w:p w:rsidR="003107F1" w:rsidRDefault="00EB6842" w:rsidP="00B15B8A">
            <w:pPr>
              <w:pStyle w:val="ListParagraph"/>
              <w:numPr>
                <w:ilvl w:val="0"/>
                <w:numId w:val="9"/>
              </w:numPr>
            </w:pPr>
            <w:r w:rsidRPr="001E303B">
              <w:t xml:space="preserve">Parents are notified in writing on the end of year report of the total number of absences during the school year. </w:t>
            </w:r>
          </w:p>
          <w:p w:rsidR="00EB6842" w:rsidRPr="001E303B" w:rsidRDefault="003107F1" w:rsidP="00B15B8A">
            <w:pPr>
              <w:pStyle w:val="ListParagraph"/>
              <w:numPr>
                <w:ilvl w:val="0"/>
                <w:numId w:val="9"/>
              </w:numPr>
            </w:pPr>
            <w:r>
              <w:t xml:space="preserve">On the school roll system percentages of school attendance on a monthly basis are recorded.  </w:t>
            </w:r>
          </w:p>
          <w:p w:rsidR="00EB6842" w:rsidRDefault="00EB6842" w:rsidP="00CD7FBF"/>
        </w:tc>
      </w:tr>
      <w:tr w:rsidR="001E18AD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School roles in relation to attendance</w:t>
            </w:r>
          </w:p>
        </w:tc>
        <w:tc>
          <w:tcPr>
            <w:tcW w:w="11199" w:type="dxa"/>
          </w:tcPr>
          <w:p w:rsidR="00C92F0B" w:rsidRDefault="00C92F0B" w:rsidP="00346AE9">
            <w:pPr>
              <w:pStyle w:val="ListParagraph"/>
              <w:numPr>
                <w:ilvl w:val="0"/>
                <w:numId w:val="2"/>
              </w:numPr>
            </w:pPr>
            <w:r>
              <w:t xml:space="preserve">All staff have an input into the implementation of the </w:t>
            </w:r>
            <w:r w:rsidR="003107F1">
              <w:t>Strategy for Attendance and S</w:t>
            </w:r>
            <w:r w:rsidR="00FC4F5B">
              <w:t>chool Attendance Policy.</w:t>
            </w:r>
          </w:p>
          <w:p w:rsidR="00C92F0B" w:rsidRDefault="00C92F0B" w:rsidP="00346AE9">
            <w:pPr>
              <w:pStyle w:val="ListParagraph"/>
              <w:numPr>
                <w:ilvl w:val="0"/>
                <w:numId w:val="2"/>
              </w:numPr>
            </w:pPr>
            <w:r>
              <w:t xml:space="preserve">Class teachers record individual patterns of attendance. </w:t>
            </w:r>
          </w:p>
          <w:p w:rsidR="00C92F0B" w:rsidRDefault="00C92F0B" w:rsidP="003107F1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3107F1">
              <w:t xml:space="preserve">he Deputy Principal </w:t>
            </w:r>
            <w:r>
              <w:t>staff has responsibility fo</w:t>
            </w:r>
            <w:r w:rsidR="00FC4F5B">
              <w:t>r maintaining the Leabhar Tinri</w:t>
            </w:r>
            <w:r>
              <w:t>mh and making returns to Túsla, the Child and Family Agency.</w:t>
            </w:r>
          </w:p>
          <w:p w:rsidR="001E18AD" w:rsidRDefault="00C92F0B" w:rsidP="00C92F0B">
            <w:pPr>
              <w:pStyle w:val="ListParagraph"/>
              <w:numPr>
                <w:ilvl w:val="0"/>
                <w:numId w:val="2"/>
              </w:numPr>
            </w:pPr>
            <w:r>
              <w:t>It is the responsibility of the Princi</w:t>
            </w:r>
            <w:r w:rsidR="00D87507">
              <w:t>pal and staff to implement the Attendance strategy and school Attendance P</w:t>
            </w:r>
            <w:r>
              <w:t>olicy under the guidance of the school’s Board of Management</w:t>
            </w:r>
          </w:p>
        </w:tc>
      </w:tr>
      <w:tr w:rsidR="001E18AD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Partnership arrangements (parents, students, other schools, youth and community groups)</w:t>
            </w:r>
          </w:p>
        </w:tc>
        <w:tc>
          <w:tcPr>
            <w:tcW w:w="11199" w:type="dxa"/>
          </w:tcPr>
          <w:p w:rsidR="00F71D3B" w:rsidRDefault="00F71D3B" w:rsidP="00F71D3B">
            <w:pPr>
              <w:pStyle w:val="ListParagraph"/>
              <w:numPr>
                <w:ilvl w:val="0"/>
                <w:numId w:val="2"/>
              </w:numPr>
            </w:pPr>
            <w:r>
              <w:t>Parents play a key role in the development of the Strategy for School Attendance and have a particular role in setting high standards around attendance and punctuality, and in engaging with t</w:t>
            </w:r>
            <w:r w:rsidR="00E062EE">
              <w:t>he school if there is a problem</w:t>
            </w:r>
            <w:r>
              <w:t xml:space="preserve"> about their child’s attendance.</w:t>
            </w:r>
          </w:p>
          <w:p w:rsidR="00835937" w:rsidRDefault="00F71D3B" w:rsidP="00346AE9">
            <w:pPr>
              <w:pStyle w:val="ListParagraph"/>
              <w:numPr>
                <w:ilvl w:val="0"/>
                <w:numId w:val="2"/>
              </w:numPr>
            </w:pPr>
            <w:r>
              <w:t xml:space="preserve">Parents/guardians can promote good school attendance by: </w:t>
            </w:r>
          </w:p>
          <w:p w:rsidR="00835937" w:rsidRDefault="00F71D3B" w:rsidP="00BC249E">
            <w:pPr>
              <w:pStyle w:val="ListParagraph"/>
              <w:numPr>
                <w:ilvl w:val="0"/>
                <w:numId w:val="14"/>
              </w:numPr>
            </w:pPr>
            <w:r>
              <w:t xml:space="preserve">ensuring regular and punctual school attendance </w:t>
            </w:r>
          </w:p>
          <w:p w:rsidR="00835937" w:rsidRDefault="00F71D3B" w:rsidP="00BC249E">
            <w:pPr>
              <w:pStyle w:val="ListParagraph"/>
              <w:numPr>
                <w:ilvl w:val="0"/>
                <w:numId w:val="14"/>
              </w:numPr>
            </w:pPr>
            <w:r>
              <w:t xml:space="preserve">working with the School </w:t>
            </w:r>
            <w:r w:rsidRPr="004933EF">
              <w:t>and</w:t>
            </w:r>
            <w:r w:rsidR="006127CD" w:rsidRPr="004933EF">
              <w:t xml:space="preserve"> with Túsla,</w:t>
            </w:r>
            <w:r w:rsidRPr="004933EF">
              <w:t xml:space="preserve"> </w:t>
            </w:r>
            <w:r w:rsidR="00B30283" w:rsidRPr="004933EF">
              <w:t xml:space="preserve">the Child and Family Agency </w:t>
            </w:r>
            <w:r w:rsidRPr="004933EF">
              <w:t>to</w:t>
            </w:r>
            <w:r>
              <w:t xml:space="preserve"> resolve any attendance problems </w:t>
            </w:r>
          </w:p>
          <w:p w:rsidR="00835937" w:rsidRDefault="00F71D3B" w:rsidP="00BC249E">
            <w:pPr>
              <w:pStyle w:val="ListParagraph"/>
              <w:numPr>
                <w:ilvl w:val="0"/>
                <w:numId w:val="14"/>
              </w:numPr>
            </w:pPr>
            <w:r>
              <w:t xml:space="preserve">making sure their children understand that parents support good school attendance </w:t>
            </w:r>
          </w:p>
          <w:p w:rsidR="00835937" w:rsidRDefault="00F71D3B" w:rsidP="003107F1">
            <w:pPr>
              <w:pStyle w:val="ListParagraph"/>
              <w:numPr>
                <w:ilvl w:val="0"/>
                <w:numId w:val="14"/>
              </w:numPr>
            </w:pPr>
            <w:r>
              <w:t xml:space="preserve">discussing planned absences with the school </w:t>
            </w:r>
          </w:p>
          <w:p w:rsidR="00835937" w:rsidRDefault="00F71D3B" w:rsidP="00BC249E">
            <w:pPr>
              <w:pStyle w:val="ListParagraph"/>
              <w:numPr>
                <w:ilvl w:val="0"/>
                <w:numId w:val="14"/>
              </w:numPr>
            </w:pPr>
            <w:r>
              <w:t xml:space="preserve">showing an interest in their children’s school day and their children’s homework. </w:t>
            </w:r>
          </w:p>
          <w:p w:rsidR="00835937" w:rsidRDefault="00F71D3B" w:rsidP="00BC249E">
            <w:pPr>
              <w:pStyle w:val="ListParagraph"/>
              <w:numPr>
                <w:ilvl w:val="0"/>
                <w:numId w:val="14"/>
              </w:numPr>
            </w:pPr>
            <w:r>
              <w:t xml:space="preserve">encouraging them to participate in school activities </w:t>
            </w:r>
          </w:p>
          <w:p w:rsidR="00835937" w:rsidRDefault="00F71D3B" w:rsidP="00BC249E">
            <w:pPr>
              <w:pStyle w:val="ListParagraph"/>
              <w:numPr>
                <w:ilvl w:val="0"/>
                <w:numId w:val="14"/>
              </w:numPr>
            </w:pPr>
            <w:r>
              <w:t xml:space="preserve">praising and encouraging their children’s achievements. </w:t>
            </w:r>
          </w:p>
          <w:p w:rsidR="00835937" w:rsidRDefault="00F71D3B" w:rsidP="00BC249E">
            <w:pPr>
              <w:pStyle w:val="ListParagraph"/>
              <w:numPr>
                <w:ilvl w:val="0"/>
                <w:numId w:val="14"/>
              </w:numPr>
            </w:pPr>
            <w:r>
              <w:t xml:space="preserve">instilling in their children a positive self-concept and a positive sense of self-worth </w:t>
            </w:r>
          </w:p>
          <w:p w:rsidR="00835937" w:rsidRDefault="00F71D3B" w:rsidP="00BC249E">
            <w:pPr>
              <w:pStyle w:val="ListParagraph"/>
              <w:numPr>
                <w:ilvl w:val="0"/>
                <w:numId w:val="14"/>
              </w:numPr>
            </w:pPr>
            <w:r>
              <w:t xml:space="preserve">informing the school in writing of the </w:t>
            </w:r>
            <w:r w:rsidR="00835937">
              <w:t>reasons for absence from school</w:t>
            </w:r>
          </w:p>
          <w:p w:rsidR="00835937" w:rsidRDefault="00F71D3B" w:rsidP="00BC249E">
            <w:pPr>
              <w:pStyle w:val="ListParagraph"/>
              <w:numPr>
                <w:ilvl w:val="0"/>
                <w:numId w:val="14"/>
              </w:numPr>
            </w:pPr>
            <w:r>
              <w:t>ensuring, insofar as is possible, that children’s appointments (with dentists etc), are arranged fo</w:t>
            </w:r>
            <w:r w:rsidR="00835937">
              <w:t>r times outside of school hours</w:t>
            </w:r>
          </w:p>
          <w:p w:rsidR="001E18AD" w:rsidRDefault="00F71D3B" w:rsidP="00BC249E">
            <w:pPr>
              <w:pStyle w:val="ListParagraph"/>
              <w:numPr>
                <w:ilvl w:val="0"/>
                <w:numId w:val="14"/>
              </w:numPr>
            </w:pPr>
            <w:r>
              <w:t xml:space="preserve">contacting the school immediately, if they have concerns about absence or other related school matters </w:t>
            </w:r>
          </w:p>
        </w:tc>
      </w:tr>
      <w:tr w:rsidR="001E18AD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How the Statement of Strategy will be monitored</w:t>
            </w:r>
          </w:p>
        </w:tc>
        <w:tc>
          <w:tcPr>
            <w:tcW w:w="11199" w:type="dxa"/>
          </w:tcPr>
          <w:p w:rsidR="00182C0C" w:rsidRPr="00303B04" w:rsidRDefault="00002CF8" w:rsidP="003107F1">
            <w:pPr>
              <w:pStyle w:val="ListParagraph"/>
              <w:numPr>
                <w:ilvl w:val="0"/>
                <w:numId w:val="2"/>
              </w:numPr>
            </w:pPr>
            <w:r w:rsidRPr="00303B04">
              <w:t>The Statement of Strategy</w:t>
            </w:r>
            <w:r w:rsidR="003107F1">
              <w:t xml:space="preserve"> will </w:t>
            </w:r>
            <w:r w:rsidRPr="00303B04">
              <w:t>be available on the school website</w:t>
            </w:r>
            <w:r w:rsidR="003107F1">
              <w:t xml:space="preserve"> for parents and guardians to view. </w:t>
            </w:r>
          </w:p>
          <w:p w:rsidR="00182C0C" w:rsidRPr="00303B04" w:rsidRDefault="00112385" w:rsidP="00303B04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3107F1">
              <w:t xml:space="preserve">he principal and staff </w:t>
            </w:r>
            <w:r w:rsidR="00002CF8" w:rsidRPr="00303B04">
              <w:t>will be responsible for the review, monitoring and implementation of t</w:t>
            </w:r>
            <w:r w:rsidR="00050F1A">
              <w:t>he school’s Attendance Strategy</w:t>
            </w:r>
            <w:r w:rsidR="00B54947">
              <w:t>.</w:t>
            </w:r>
            <w:r w:rsidR="00002CF8" w:rsidRPr="00303B04">
              <w:t xml:space="preserve"> </w:t>
            </w:r>
          </w:p>
          <w:p w:rsidR="00182C0C" w:rsidRPr="00303B04" w:rsidRDefault="00002CF8" w:rsidP="00303B04">
            <w:pPr>
              <w:pStyle w:val="ListParagraph"/>
              <w:numPr>
                <w:ilvl w:val="0"/>
                <w:numId w:val="2"/>
              </w:numPr>
            </w:pPr>
            <w:r w:rsidRPr="00303B04">
              <w:t>The school principal and teachers will work to create a school ethos and climate that is supportive of high levels of engagement and attendance</w:t>
            </w:r>
            <w:r w:rsidR="00B54947">
              <w:t>.</w:t>
            </w:r>
          </w:p>
          <w:p w:rsidR="00182C0C" w:rsidRPr="00303B04" w:rsidRDefault="00002CF8" w:rsidP="003107F1">
            <w:pPr>
              <w:pStyle w:val="ListParagraph"/>
              <w:numPr>
                <w:ilvl w:val="0"/>
                <w:numId w:val="2"/>
              </w:numPr>
            </w:pPr>
            <w:r w:rsidRPr="00303B04">
              <w:t>Teachers will ensure that attendance data is recorded accurately and alert the principal</w:t>
            </w:r>
            <w:r w:rsidR="003107F1">
              <w:t xml:space="preserve"> / Vice Principal </w:t>
            </w:r>
            <w:r w:rsidR="003107F1" w:rsidRPr="00303B04">
              <w:t>if</w:t>
            </w:r>
            <w:r w:rsidRPr="00303B04">
              <w:t xml:space="preserve"> there are concerns about student absences</w:t>
            </w:r>
            <w:r w:rsidR="00B54947">
              <w:t>.</w:t>
            </w:r>
          </w:p>
          <w:p w:rsidR="00182C0C" w:rsidRPr="00303B04" w:rsidRDefault="00002CF8" w:rsidP="003107F1">
            <w:pPr>
              <w:pStyle w:val="ListParagraph"/>
              <w:numPr>
                <w:ilvl w:val="0"/>
                <w:numId w:val="2"/>
              </w:numPr>
            </w:pPr>
            <w:r w:rsidRPr="00303B04">
              <w:t>The ongoing implementation of the Statement of Strategy and progress towards attendance targets will</w:t>
            </w:r>
            <w:r w:rsidR="003107F1">
              <w:t xml:space="preserve"> be reviewed by the staff on a yearly basis.</w:t>
            </w:r>
          </w:p>
          <w:p w:rsidR="00303B04" w:rsidRDefault="00303B04" w:rsidP="00303B04">
            <w:pPr>
              <w:pStyle w:val="ListParagraph"/>
              <w:ind w:left="360"/>
            </w:pPr>
          </w:p>
        </w:tc>
      </w:tr>
      <w:tr w:rsidR="001E18AD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Review process and date for review</w:t>
            </w:r>
          </w:p>
        </w:tc>
        <w:tc>
          <w:tcPr>
            <w:tcW w:w="11199" w:type="dxa"/>
          </w:tcPr>
          <w:p w:rsidR="001E18AD" w:rsidRDefault="003107F1" w:rsidP="00346AE9">
            <w:pPr>
              <w:pStyle w:val="ListParagraph"/>
              <w:numPr>
                <w:ilvl w:val="0"/>
                <w:numId w:val="2"/>
              </w:numPr>
            </w:pPr>
            <w:r>
              <w:t>September 2018</w:t>
            </w:r>
          </w:p>
        </w:tc>
      </w:tr>
      <w:tr w:rsidR="001E18AD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Date the Statement of Strategy was approved by the Board of Management</w:t>
            </w:r>
          </w:p>
        </w:tc>
        <w:tc>
          <w:tcPr>
            <w:tcW w:w="11199" w:type="dxa"/>
          </w:tcPr>
          <w:p w:rsidR="001E18AD" w:rsidRDefault="003E38B6" w:rsidP="00346AE9">
            <w:pPr>
              <w:pStyle w:val="ListParagraph"/>
              <w:numPr>
                <w:ilvl w:val="0"/>
                <w:numId w:val="2"/>
              </w:numPr>
            </w:pPr>
            <w:r>
              <w:t xml:space="preserve">September 2017 </w:t>
            </w:r>
          </w:p>
        </w:tc>
      </w:tr>
      <w:tr w:rsidR="001E18AD" w:rsidTr="00A36C0F">
        <w:tc>
          <w:tcPr>
            <w:tcW w:w="2835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Date the State</w:t>
            </w:r>
            <w:r w:rsidR="00EF4B18">
              <w:rPr>
                <w:rFonts w:cs="Calibri"/>
              </w:rPr>
              <w:t>ment of Strategy submitted to Tú</w:t>
            </w:r>
            <w:r>
              <w:rPr>
                <w:rFonts w:cs="Calibri"/>
              </w:rPr>
              <w:t>sla</w:t>
            </w:r>
          </w:p>
        </w:tc>
        <w:tc>
          <w:tcPr>
            <w:tcW w:w="11199" w:type="dxa"/>
          </w:tcPr>
          <w:p w:rsidR="001E18AD" w:rsidRDefault="003E38B6" w:rsidP="003E38B6">
            <w:pPr>
              <w:pStyle w:val="ListParagraph"/>
              <w:numPr>
                <w:ilvl w:val="0"/>
                <w:numId w:val="2"/>
              </w:numPr>
            </w:pPr>
            <w:r>
              <w:t xml:space="preserve">September 2017 </w:t>
            </w:r>
          </w:p>
        </w:tc>
      </w:tr>
    </w:tbl>
    <w:p w:rsidR="004B75A1" w:rsidRDefault="0016769A"/>
    <w:sectPr w:rsidR="004B75A1" w:rsidSect="00AE04C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22" w:rsidRDefault="00017222" w:rsidP="00687A0B">
      <w:r>
        <w:separator/>
      </w:r>
    </w:p>
  </w:endnote>
  <w:endnote w:type="continuationSeparator" w:id="0">
    <w:p w:rsidR="00017222" w:rsidRDefault="00017222" w:rsidP="006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22" w:rsidRDefault="00017222" w:rsidP="00687A0B">
      <w:r>
        <w:separator/>
      </w:r>
    </w:p>
  </w:footnote>
  <w:footnote w:type="continuationSeparator" w:id="0">
    <w:p w:rsidR="00017222" w:rsidRDefault="00017222" w:rsidP="0068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83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7A0B" w:rsidRDefault="00687A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6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7A0B" w:rsidRDefault="00687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B0A"/>
    <w:multiLevelType w:val="hybridMultilevel"/>
    <w:tmpl w:val="44E45A52"/>
    <w:lvl w:ilvl="0" w:tplc="B396F972">
      <w:start w:val="25"/>
      <w:numFmt w:val="bullet"/>
      <w:lvlText w:val="-"/>
      <w:lvlJc w:val="left"/>
      <w:pPr>
        <w:ind w:left="720" w:hanging="360"/>
      </w:pPr>
      <w:rPr>
        <w:rFonts w:ascii="Comic Sans MS" w:eastAsia="MS ??" w:hAnsi="Comic Sans MS" w:cs="AngsanaUPC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6BC0"/>
    <w:multiLevelType w:val="hybridMultilevel"/>
    <w:tmpl w:val="7932E9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95871"/>
    <w:multiLevelType w:val="hybridMultilevel"/>
    <w:tmpl w:val="62B668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6061C"/>
    <w:multiLevelType w:val="hybridMultilevel"/>
    <w:tmpl w:val="1A489A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F4CC4"/>
    <w:multiLevelType w:val="hybridMultilevel"/>
    <w:tmpl w:val="79CAB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3612"/>
    <w:multiLevelType w:val="hybridMultilevel"/>
    <w:tmpl w:val="FA90E8C0"/>
    <w:lvl w:ilvl="0" w:tplc="AC662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2C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8A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26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C6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2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87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A3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2F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4755D8"/>
    <w:multiLevelType w:val="hybridMultilevel"/>
    <w:tmpl w:val="F67EF38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340A6"/>
    <w:multiLevelType w:val="hybridMultilevel"/>
    <w:tmpl w:val="8A1484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180E38"/>
    <w:multiLevelType w:val="hybridMultilevel"/>
    <w:tmpl w:val="6CDCAE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C3BDA"/>
    <w:multiLevelType w:val="hybridMultilevel"/>
    <w:tmpl w:val="B1708D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7E6A"/>
    <w:multiLevelType w:val="hybridMultilevel"/>
    <w:tmpl w:val="E208F960"/>
    <w:lvl w:ilvl="0" w:tplc="B396F972">
      <w:start w:val="25"/>
      <w:numFmt w:val="bullet"/>
      <w:lvlText w:val="-"/>
      <w:lvlJc w:val="left"/>
      <w:pPr>
        <w:ind w:left="720" w:hanging="360"/>
      </w:pPr>
      <w:rPr>
        <w:rFonts w:ascii="Comic Sans MS" w:eastAsia="MS ??" w:hAnsi="Comic Sans MS" w:cs="AngsanaUPC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F58F8"/>
    <w:multiLevelType w:val="hybridMultilevel"/>
    <w:tmpl w:val="ED1CFC06"/>
    <w:lvl w:ilvl="0" w:tplc="B396F972">
      <w:start w:val="25"/>
      <w:numFmt w:val="bullet"/>
      <w:lvlText w:val="-"/>
      <w:lvlJc w:val="left"/>
      <w:pPr>
        <w:ind w:left="360" w:hanging="360"/>
      </w:pPr>
      <w:rPr>
        <w:rFonts w:ascii="Comic Sans MS" w:eastAsia="MS ??" w:hAnsi="Comic Sans MS" w:cs="AngsanaUP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8C1BCB"/>
    <w:multiLevelType w:val="hybridMultilevel"/>
    <w:tmpl w:val="3264834E"/>
    <w:lvl w:ilvl="0" w:tplc="B396F972">
      <w:start w:val="25"/>
      <w:numFmt w:val="bullet"/>
      <w:lvlText w:val="-"/>
      <w:lvlJc w:val="left"/>
      <w:pPr>
        <w:ind w:left="360" w:hanging="360"/>
      </w:pPr>
      <w:rPr>
        <w:rFonts w:ascii="Comic Sans MS" w:eastAsia="MS ??" w:hAnsi="Comic Sans MS" w:cs="AngsanaUP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00002"/>
    <w:multiLevelType w:val="hybridMultilevel"/>
    <w:tmpl w:val="06CC2926"/>
    <w:lvl w:ilvl="0" w:tplc="B396F972">
      <w:start w:val="25"/>
      <w:numFmt w:val="bullet"/>
      <w:lvlText w:val="-"/>
      <w:lvlJc w:val="left"/>
      <w:pPr>
        <w:ind w:left="360" w:hanging="360"/>
      </w:pPr>
      <w:rPr>
        <w:rFonts w:ascii="Comic Sans MS" w:eastAsia="MS ??" w:hAnsi="Comic Sans MS" w:cs="AngsanaUP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CF56A3"/>
    <w:multiLevelType w:val="hybridMultilevel"/>
    <w:tmpl w:val="D36EDBA6"/>
    <w:lvl w:ilvl="0" w:tplc="B396F972">
      <w:start w:val="25"/>
      <w:numFmt w:val="bullet"/>
      <w:lvlText w:val="-"/>
      <w:lvlJc w:val="left"/>
      <w:pPr>
        <w:ind w:left="360" w:hanging="360"/>
      </w:pPr>
      <w:rPr>
        <w:rFonts w:ascii="Comic Sans MS" w:eastAsia="MS ??" w:hAnsi="Comic Sans MS" w:cs="AngsanaUP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0155E8"/>
    <w:multiLevelType w:val="hybridMultilevel"/>
    <w:tmpl w:val="BF06D9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BA157C"/>
    <w:multiLevelType w:val="hybridMultilevel"/>
    <w:tmpl w:val="CD3C069E"/>
    <w:lvl w:ilvl="0" w:tplc="1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5"/>
  </w:num>
  <w:num w:numId="14">
    <w:abstractNumId w:val="14"/>
  </w:num>
  <w:num w:numId="15">
    <w:abstractNumId w:val="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AD"/>
    <w:rsid w:val="00002CF8"/>
    <w:rsid w:val="00011328"/>
    <w:rsid w:val="00014CA8"/>
    <w:rsid w:val="00015F3E"/>
    <w:rsid w:val="00017222"/>
    <w:rsid w:val="00017CD1"/>
    <w:rsid w:val="00050F1A"/>
    <w:rsid w:val="000916C9"/>
    <w:rsid w:val="000A2714"/>
    <w:rsid w:val="000D71EC"/>
    <w:rsid w:val="000D7486"/>
    <w:rsid w:val="00100594"/>
    <w:rsid w:val="00112385"/>
    <w:rsid w:val="00113C51"/>
    <w:rsid w:val="00126667"/>
    <w:rsid w:val="0016769A"/>
    <w:rsid w:val="00182C0C"/>
    <w:rsid w:val="00192F47"/>
    <w:rsid w:val="001B02BF"/>
    <w:rsid w:val="001B4C91"/>
    <w:rsid w:val="001C0017"/>
    <w:rsid w:val="001E18AD"/>
    <w:rsid w:val="001E303B"/>
    <w:rsid w:val="00212938"/>
    <w:rsid w:val="00272B5A"/>
    <w:rsid w:val="00282E3E"/>
    <w:rsid w:val="002E700D"/>
    <w:rsid w:val="00303B04"/>
    <w:rsid w:val="00306A53"/>
    <w:rsid w:val="003107F1"/>
    <w:rsid w:val="00326626"/>
    <w:rsid w:val="00346AE9"/>
    <w:rsid w:val="00351E85"/>
    <w:rsid w:val="0036082F"/>
    <w:rsid w:val="00365395"/>
    <w:rsid w:val="0038597C"/>
    <w:rsid w:val="003C04E6"/>
    <w:rsid w:val="003E38B6"/>
    <w:rsid w:val="003F7475"/>
    <w:rsid w:val="00415D29"/>
    <w:rsid w:val="00423B55"/>
    <w:rsid w:val="00436C6E"/>
    <w:rsid w:val="00452DD2"/>
    <w:rsid w:val="004933EF"/>
    <w:rsid w:val="004E61B4"/>
    <w:rsid w:val="00521C67"/>
    <w:rsid w:val="00550A8D"/>
    <w:rsid w:val="00594263"/>
    <w:rsid w:val="005F040F"/>
    <w:rsid w:val="005F6998"/>
    <w:rsid w:val="006127CD"/>
    <w:rsid w:val="006476A9"/>
    <w:rsid w:val="00665D86"/>
    <w:rsid w:val="0068279F"/>
    <w:rsid w:val="00686CB9"/>
    <w:rsid w:val="0068731D"/>
    <w:rsid w:val="00687A0B"/>
    <w:rsid w:val="006C7113"/>
    <w:rsid w:val="006E209A"/>
    <w:rsid w:val="006F22B6"/>
    <w:rsid w:val="007342A0"/>
    <w:rsid w:val="007719BC"/>
    <w:rsid w:val="00772E62"/>
    <w:rsid w:val="007F7F22"/>
    <w:rsid w:val="00801C83"/>
    <w:rsid w:val="008219C0"/>
    <w:rsid w:val="00832A17"/>
    <w:rsid w:val="00835937"/>
    <w:rsid w:val="008656A8"/>
    <w:rsid w:val="008A7A7F"/>
    <w:rsid w:val="008B7752"/>
    <w:rsid w:val="008D0198"/>
    <w:rsid w:val="008F672A"/>
    <w:rsid w:val="00934E62"/>
    <w:rsid w:val="00944EE4"/>
    <w:rsid w:val="009468CF"/>
    <w:rsid w:val="00950138"/>
    <w:rsid w:val="009534CF"/>
    <w:rsid w:val="009670EC"/>
    <w:rsid w:val="00972ACE"/>
    <w:rsid w:val="00981C35"/>
    <w:rsid w:val="00984625"/>
    <w:rsid w:val="009B5A46"/>
    <w:rsid w:val="009C2D3E"/>
    <w:rsid w:val="009C434B"/>
    <w:rsid w:val="009D0588"/>
    <w:rsid w:val="009D1980"/>
    <w:rsid w:val="009E209C"/>
    <w:rsid w:val="00A36C0F"/>
    <w:rsid w:val="00A54A54"/>
    <w:rsid w:val="00A65197"/>
    <w:rsid w:val="00AB1EC8"/>
    <w:rsid w:val="00AB2F12"/>
    <w:rsid w:val="00AB511C"/>
    <w:rsid w:val="00AE04C0"/>
    <w:rsid w:val="00AE46A5"/>
    <w:rsid w:val="00B043D8"/>
    <w:rsid w:val="00B04EB8"/>
    <w:rsid w:val="00B070F0"/>
    <w:rsid w:val="00B15B8A"/>
    <w:rsid w:val="00B30283"/>
    <w:rsid w:val="00B3279A"/>
    <w:rsid w:val="00B54947"/>
    <w:rsid w:val="00B620FA"/>
    <w:rsid w:val="00B73EBD"/>
    <w:rsid w:val="00B74A7C"/>
    <w:rsid w:val="00B83A87"/>
    <w:rsid w:val="00B92B06"/>
    <w:rsid w:val="00B9552D"/>
    <w:rsid w:val="00BC249E"/>
    <w:rsid w:val="00BC26A3"/>
    <w:rsid w:val="00BC4B91"/>
    <w:rsid w:val="00BE233C"/>
    <w:rsid w:val="00BF5CC0"/>
    <w:rsid w:val="00C12029"/>
    <w:rsid w:val="00C1550A"/>
    <w:rsid w:val="00C253E7"/>
    <w:rsid w:val="00C3371D"/>
    <w:rsid w:val="00C4549B"/>
    <w:rsid w:val="00C56E1F"/>
    <w:rsid w:val="00C663EF"/>
    <w:rsid w:val="00C92F0B"/>
    <w:rsid w:val="00C93303"/>
    <w:rsid w:val="00CD346F"/>
    <w:rsid w:val="00CD7FBF"/>
    <w:rsid w:val="00D11F45"/>
    <w:rsid w:val="00D325CB"/>
    <w:rsid w:val="00D46E69"/>
    <w:rsid w:val="00D77458"/>
    <w:rsid w:val="00D87507"/>
    <w:rsid w:val="00D92BFE"/>
    <w:rsid w:val="00DB3B14"/>
    <w:rsid w:val="00DD6316"/>
    <w:rsid w:val="00E062EE"/>
    <w:rsid w:val="00E10700"/>
    <w:rsid w:val="00E7493D"/>
    <w:rsid w:val="00E90683"/>
    <w:rsid w:val="00EB6842"/>
    <w:rsid w:val="00EE0C4B"/>
    <w:rsid w:val="00EE2A81"/>
    <w:rsid w:val="00EF4B18"/>
    <w:rsid w:val="00F00620"/>
    <w:rsid w:val="00F32461"/>
    <w:rsid w:val="00F33114"/>
    <w:rsid w:val="00F33B9C"/>
    <w:rsid w:val="00F51802"/>
    <w:rsid w:val="00F71D3B"/>
    <w:rsid w:val="00F80587"/>
    <w:rsid w:val="00F97FF4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CFCD6-A73A-43AB-B7CB-42F0146A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18A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AD"/>
    <w:pPr>
      <w:ind w:left="720"/>
    </w:pPr>
  </w:style>
  <w:style w:type="table" w:styleId="TableGrid">
    <w:name w:val="Table Grid"/>
    <w:basedOn w:val="TableNormal"/>
    <w:uiPriority w:val="59"/>
    <w:rsid w:val="001E18A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0B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0B"/>
    <w:rPr>
      <w:rFonts w:ascii="Calibri" w:eastAsia="Times New Roman" w:hAnsi="Calibri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AE46A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Brattman</dc:creator>
  <cp:lastModifiedBy>Melissa Brady</cp:lastModifiedBy>
  <cp:revision>6</cp:revision>
  <cp:lastPrinted>2017-09-19T14:44:00Z</cp:lastPrinted>
  <dcterms:created xsi:type="dcterms:W3CDTF">2017-09-12T13:52:00Z</dcterms:created>
  <dcterms:modified xsi:type="dcterms:W3CDTF">2017-09-19T15:06:00Z</dcterms:modified>
</cp:coreProperties>
</file>